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8 — Attività e procedimenti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Attività e procedimenti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35 D.Lgs. 33/2013; L. 241/1990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Elenco dei principali procedimenti amministrativi dell'ente, con riferimento normativo, ufficio responsabile, termine di conclusione e modulistica.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500"/>
        <w:gridCol w:w="2000"/>
        <w:gridCol w:w="2000"/>
        <w:gridCol w:w="23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Denominazione procedimento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Riferimenti normativi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Ufficio competente</w:t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Responsabile (nome)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Termini, modalità di accesso, modulistica: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500"/>
        <w:gridCol w:w="1800"/>
        <w:gridCol w:w="2000"/>
        <w:gridCol w:w="25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Procedimento</w:t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Termine (giorni)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Modalità di accesso</w:t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Link modulistica / istruzioni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Attività e procedimenti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Attività e procedimenti — MODELLO Amministrazione Trasparente</dc:title>
  <dc:creator>Marco Matteocci — Segretario Comunale</dc:creator>
  <dc:description>Modello compilabile per la pubblicazione in Amministrazione Trasparente — 8 — Attività e procedimenti</dc:description>
  <cp:lastModifiedBy>Un-named</cp:lastModifiedBy>
  <cp:revision>1</cp:revision>
  <dcterms:created xsi:type="dcterms:W3CDTF">2026-06-15T14:39:27.136Z</dcterms:created>
  <dcterms:modified xsi:type="dcterms:W3CDTF">2026-06-15T14:39:27.136Z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